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61CE" w14:textId="3D228CB9" w:rsidR="005F668B" w:rsidRPr="001E4384" w:rsidRDefault="00A5270B">
      <w:pPr>
        <w:rPr>
          <w:b/>
          <w:bCs/>
          <w:sz w:val="22"/>
          <w:szCs w:val="22"/>
        </w:rPr>
      </w:pPr>
      <w:r w:rsidRPr="001E4384">
        <w:rPr>
          <w:b/>
          <w:bCs/>
          <w:sz w:val="22"/>
          <w:szCs w:val="22"/>
        </w:rPr>
        <w:t>BFI Workshop on</w:t>
      </w:r>
      <w:r w:rsidR="009D3722" w:rsidRPr="001E4384">
        <w:rPr>
          <w:b/>
          <w:bCs/>
          <w:sz w:val="22"/>
          <w:szCs w:val="22"/>
        </w:rPr>
        <w:t xml:space="preserve"> DEPTH OF FIELD</w:t>
      </w:r>
      <w:r w:rsidR="00C1694A" w:rsidRPr="001E4384">
        <w:rPr>
          <w:b/>
          <w:bCs/>
          <w:sz w:val="22"/>
          <w:szCs w:val="22"/>
        </w:rPr>
        <w:t>, CLASS CONFLICT</w:t>
      </w:r>
      <w:r w:rsidR="00F52CC1" w:rsidRPr="001E4384">
        <w:rPr>
          <w:b/>
          <w:bCs/>
          <w:sz w:val="22"/>
          <w:szCs w:val="22"/>
        </w:rPr>
        <w:t xml:space="preserve"> </w:t>
      </w:r>
      <w:r w:rsidRPr="001E4384">
        <w:rPr>
          <w:b/>
          <w:bCs/>
          <w:sz w:val="22"/>
          <w:szCs w:val="22"/>
        </w:rPr>
        <w:t xml:space="preserve">AND THE </w:t>
      </w:r>
      <w:r w:rsidR="00C1694A" w:rsidRPr="001E4384">
        <w:rPr>
          <w:b/>
          <w:bCs/>
          <w:sz w:val="22"/>
          <w:szCs w:val="22"/>
        </w:rPr>
        <w:t xml:space="preserve">LATIN AMERICAN </w:t>
      </w:r>
      <w:r w:rsidRPr="001E4384">
        <w:rPr>
          <w:b/>
          <w:bCs/>
          <w:sz w:val="22"/>
          <w:szCs w:val="22"/>
        </w:rPr>
        <w:t>CINEMA OF DOMESTIC SERVICE</w:t>
      </w:r>
    </w:p>
    <w:p w14:paraId="1B31A369" w14:textId="6C383FDE" w:rsidR="009D598F" w:rsidRDefault="00102A92" w:rsidP="009D598F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Latin American films </w:t>
      </w:r>
      <w:r w:rsidR="00113D8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focused on 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the relationship between employers and live-in domestic workers have abounded over the last twenty years. Hailing from countries as diverse as Brazil, Mexico, Chile, </w:t>
      </w:r>
      <w:r w:rsidR="00317C10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Argentina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and Peru, th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is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cycle of films, often referred to as the </w:t>
      </w:r>
      <w:r w:rsidR="005E420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“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cinema of domestic work/service</w:t>
      </w:r>
      <w:r w:rsidR="005E420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”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can be in part explained by</w:t>
      </w:r>
      <w:r w:rsidR="005507EB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the increased formali</w:t>
      </w:r>
      <w:r w:rsidR="00317C10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ation and regulation of domestic work in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Latin America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. The list of films pertaining to this cycle is as extensive as is the diversity of styles and genres they mobilise.</w:t>
      </w:r>
      <w:r w:rsidR="005507EB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5E420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However, a remarkably consistent feature can be discerned </w:t>
      </w:r>
      <w:r w:rsidR="00794C6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in </w:t>
      </w:r>
      <w:r w:rsidR="0049188D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many such </w:t>
      </w:r>
      <w:r w:rsidR="00794C6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films, </w:t>
      </w:r>
      <w:r w:rsidR="005E420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namely </w:t>
      </w:r>
      <w:r w:rsidR="00794C6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their </w:t>
      </w:r>
      <w:r w:rsidR="005E420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recourse to </w:t>
      </w:r>
      <w:r w:rsidR="00F7780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the depth of field technique to convey the interaction between employers and live-in </w:t>
      </w:r>
      <w:r w:rsidR="00B53D53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housekeepers </w:t>
      </w:r>
      <w:r w:rsidR="00F7780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sharing the same physical space</w:t>
      </w:r>
      <w:r w:rsidR="00794C6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</w:t>
      </w:r>
    </w:p>
    <w:p w14:paraId="38D84941" w14:textId="748F64EF" w:rsidR="00C244AC" w:rsidRDefault="00A5270B" w:rsidP="009D598F">
      <w:pPr>
        <w:shd w:val="clear" w:color="auto" w:fill="FFFFFF"/>
        <w:spacing w:after="0" w:line="240" w:lineRule="auto"/>
        <w:ind w:firstLine="720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A5270B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Depth of field is one of the most widely debated concepts in film theory</w:t>
      </w:r>
      <w:r w:rsidR="00B53D53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going back </w:t>
      </w:r>
      <w:r w:rsidR="00F7780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to André Bazin’s foundational writings on the topic in the 1940s and 1950s. </w:t>
      </w:r>
      <w:r w:rsidR="00272874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For Bazin, </w:t>
      </w:r>
      <w:r w:rsidR="00794C6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the utilisation of </w:t>
      </w:r>
      <w:r w:rsidR="005C063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recessive</w:t>
      </w:r>
      <w:r w:rsidR="009D372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A86873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planes </w:t>
      </w:r>
      <w:r w:rsidR="00794C6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in the image</w:t>
      </w:r>
      <w:r w:rsidR="009D372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4F0C74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by directors such as </w:t>
      </w:r>
      <w:r w:rsidR="00B53D53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Jean Renoir, </w:t>
      </w:r>
      <w:r w:rsidR="004F0C74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Orson Welles</w:t>
      </w:r>
      <w:r w:rsidR="00B53D53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and </w:t>
      </w:r>
      <w:r w:rsidR="004F0C74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William Wyler </w:t>
      </w:r>
      <w:r w:rsidR="001E6BA4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meant </w:t>
      </w:r>
      <w:r w:rsidR="00B53D53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more autonomy and freedom on the part of the spectator in the process of scanning and apprehending the image</w:t>
      </w:r>
      <w:r w:rsidR="0095799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which </w:t>
      </w:r>
      <w:r w:rsidR="00317C10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refused</w:t>
      </w:r>
      <w:r w:rsidR="0095799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to congeal into a definitive meaning</w:t>
      </w:r>
      <w:r w:rsidR="0049188D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and thus preserved the ‘ambiguity’ of reality</w:t>
      </w:r>
      <w:r w:rsidR="0095799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At the same time, the concept of depth as </w:t>
      </w:r>
      <w:r w:rsidR="005C063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it relates 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to class</w:t>
      </w:r>
      <w:r w:rsidR="00094221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conflict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within domestic spaces is not infrequently mobilised on a vertical axis in the cinema: one can think of the ‘upstairs-downstairs’ British tradition, but also the recent South Korean smash hit </w:t>
      </w:r>
      <w:r w:rsidR="009D598F" w:rsidRPr="00C244AC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Parasite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(2019, Bong Joon-</w:t>
      </w:r>
      <w:proofErr w:type="spellStart"/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ho</w:t>
      </w:r>
      <w:proofErr w:type="spellEnd"/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), in which verticality is a central conceit and structuring principle. </w:t>
      </w:r>
    </w:p>
    <w:p w14:paraId="31AEB5FB" w14:textId="2F40AAFD" w:rsidR="00D27E38" w:rsidRDefault="00345307" w:rsidP="00317C10">
      <w:pPr>
        <w:shd w:val="clear" w:color="auto" w:fill="FFFFFF"/>
        <w:spacing w:after="0" w:line="240" w:lineRule="auto"/>
        <w:ind w:firstLine="720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In </w:t>
      </w:r>
      <w:r w:rsidR="008733DC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combining 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recent Latin America</w:t>
      </w:r>
      <w:r w:rsidR="0095799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n films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the question of class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and Bazinian film theory, this workshop will </w:t>
      </w:r>
      <w:r w:rsidR="0095799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explore how and whether a regional cinema can </w:t>
      </w:r>
      <w:r w:rsidR="00C5396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make us </w:t>
      </w:r>
      <w:r w:rsidR="005C063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reassess 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solidified theoretical concepts</w:t>
      </w:r>
      <w:r w:rsidR="008733DC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</w:t>
      </w:r>
      <w:r w:rsidR="00F21900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Are Bazin’s ideas applicable to</w:t>
      </w:r>
      <w:r w:rsidR="00B97B3B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these films?</w:t>
      </w:r>
      <w:r w:rsidR="0005381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B97B3B" w:rsidRPr="00317C10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To what extent does the socio-cultural specificity of the institution </w:t>
      </w:r>
      <w:r w:rsidR="008733DC" w:rsidRPr="00317C10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of </w:t>
      </w:r>
      <w:r w:rsidR="00B97B3B" w:rsidRPr="00317C10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domestic work in Latin America</w:t>
      </w:r>
      <w:r w:rsidR="00747141" w:rsidRPr="00317C10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</w:t>
      </w:r>
      <w:r w:rsidR="00747141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rooted as it is in racialised, gendered and architecturally determined configurations,</w:t>
      </w:r>
      <w:r w:rsidR="00B97B3B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require </w:t>
      </w:r>
      <w:r w:rsidR="002E5B2B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a </w:t>
      </w:r>
      <w:r w:rsidR="001E6BA4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locally attuned</w:t>
      </w:r>
      <w:r w:rsidR="00B97B3B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and historically </w:t>
      </w:r>
      <w:r w:rsidR="00D27E38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sensitive </w:t>
      </w:r>
      <w:r w:rsidR="002E5B2B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intervention</w:t>
      </w:r>
      <w:r w:rsidR="008733DC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</w:t>
      </w:r>
      <w:r w:rsidR="00D27E38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073C23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one that may, in turn, help illuminate</w:t>
      </w:r>
      <w:r w:rsidR="00D27E38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the way depth is activated in the recent cinema of domestic service? To answer these questions, </w:t>
      </w:r>
      <w:r w:rsidR="009D598F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we </w:t>
      </w:r>
      <w:r w:rsidR="00D27E38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will analyse clips from a select group of films, including Lucrecia Martel’s </w:t>
      </w:r>
      <w:r w:rsidR="00D27E38" w:rsidRPr="0074714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The Headless Woman</w:t>
      </w:r>
      <w:r w:rsidR="00D27E38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(2008), Anna Muylaert’s </w:t>
      </w:r>
      <w:proofErr w:type="gramStart"/>
      <w:r w:rsidR="00D27E38" w:rsidRPr="0074714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The</w:t>
      </w:r>
      <w:proofErr w:type="gramEnd"/>
      <w:r w:rsidR="00D27E38" w:rsidRPr="0074714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Second Mother</w:t>
      </w:r>
      <w:r w:rsidR="00D27E38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(2015)</w:t>
      </w:r>
      <w:r w:rsidR="005C063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</w:t>
      </w:r>
      <w:r w:rsidR="00D27E38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Kleber Mendonça Filho’s </w:t>
      </w:r>
      <w:r w:rsidR="00D27E38" w:rsidRPr="0074714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Aquarius</w:t>
      </w:r>
      <w:r w:rsidR="00D27E38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(20</w:t>
      </w:r>
      <w:r w:rsidR="00747141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16)</w:t>
      </w:r>
      <w:r w:rsidR="0005381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and Alfonso Cuarón’s </w:t>
      </w:r>
      <w:r w:rsidR="00053812" w:rsidRPr="00053812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Roma</w:t>
      </w:r>
      <w:r w:rsidR="0005381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(2018).</w:t>
      </w:r>
    </w:p>
    <w:p w14:paraId="2C2EC1AE" w14:textId="77777777" w:rsidR="008733DC" w:rsidRDefault="008733DC" w:rsidP="00747141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</w:p>
    <w:p w14:paraId="70C7A698" w14:textId="431AA8B4" w:rsidR="008733DC" w:rsidRDefault="008733DC" w:rsidP="00747141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49188D">
        <w:rPr>
          <w:rFonts w:eastAsia="Times New Roman" w:cs="Segoe U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Reading Suggestions</w:t>
      </w:r>
    </w:p>
    <w:p w14:paraId="1D505A13" w14:textId="77777777" w:rsidR="0049188D" w:rsidRPr="0049188D" w:rsidRDefault="0049188D" w:rsidP="00747141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</w:p>
    <w:p w14:paraId="345F4FAC" w14:textId="179FE0AC" w:rsidR="00153C79" w:rsidRDefault="00153C79" w:rsidP="00317C10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Bazin, André. </w:t>
      </w:r>
      <w:r w:rsidR="00C44A6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2004. ‘The Evolution of the Language of Cinema’. In </w:t>
      </w:r>
      <w:r w:rsidR="00C44A66" w:rsidRPr="00C44A66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What is Cinema? Volume 1</w:t>
      </w:r>
      <w:r w:rsidR="00C44A6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essays selected and translated by Hugh Gray. Berkeley, London and Los Angeles: University of California Press, pp. 23-40.</w:t>
      </w:r>
    </w:p>
    <w:p w14:paraId="0FEBFECD" w14:textId="0FBD7902" w:rsidR="00041963" w:rsidRDefault="00041963" w:rsidP="00113D82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de Luca, Tiago. </w:t>
      </w:r>
      <w:r w:rsidR="00113D8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2017. ‘“Casa Grande &amp; Senzala”: Domestic Space and Class Conflict in </w:t>
      </w:r>
      <w:r w:rsidR="00113D82" w:rsidRPr="0009422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Casa Grande</w:t>
      </w:r>
      <w:r w:rsidR="00113D8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and </w:t>
      </w:r>
      <w:r w:rsidR="00113D82" w:rsidRPr="0009422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Que horas </w:t>
      </w:r>
      <w:proofErr w:type="spellStart"/>
      <w:r w:rsidR="00113D82" w:rsidRPr="0009422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ela</w:t>
      </w:r>
      <w:proofErr w:type="spellEnd"/>
      <w:r w:rsidR="00113D82" w:rsidRPr="0009422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volta?</w:t>
      </w:r>
      <w:r w:rsidR="00113D8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’ In </w:t>
      </w:r>
      <w:r w:rsidR="00113D82" w:rsidRPr="00113D82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Space and Subjectivity in Contemporary Brazilian Cinema</w:t>
      </w:r>
      <w:r w:rsidR="00113D82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edited by Antonio Marcio da Silva and Mariana Cunha.  London: Palgrave, pp. 203-219.  </w:t>
      </w:r>
    </w:p>
    <w:p w14:paraId="35E8E539" w14:textId="77777777" w:rsidR="00041963" w:rsidRDefault="00041963" w:rsidP="00113D82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Randall, Rachel. 2024. </w:t>
      </w:r>
      <w:r w:rsidRPr="00041963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Paid to Care: Domestic Workers in Contemporary Latin American Culture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Austin: University of Texas Press. </w:t>
      </w:r>
    </w:p>
    <w:p w14:paraId="3BDDB1DD" w14:textId="31115257" w:rsidR="00A5270B" w:rsidRDefault="00D83996" w:rsidP="00113D82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proofErr w:type="spellStart"/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Redrobe</w:t>
      </w:r>
      <w:proofErr w:type="spellEnd"/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Karen, and Jeff </w:t>
      </w:r>
      <w:proofErr w:type="spellStart"/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Scheible</w:t>
      </w:r>
      <w:proofErr w:type="spellEnd"/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2020. ‘Depths of the Moving Image: Perception, Spectatorship, and Film Theory’. In </w:t>
      </w:r>
      <w:r w:rsidRPr="00123D59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Deep Mediations: Thinking Space in Cinema and Digital Cultures</w:t>
      </w:r>
      <w:r w:rsidR="00123D5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edited by Karen </w:t>
      </w:r>
      <w:proofErr w:type="spellStart"/>
      <w:r w:rsidR="00123D5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Redrobe</w:t>
      </w:r>
      <w:proofErr w:type="spellEnd"/>
      <w:r w:rsidR="00123D5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and Jeff </w:t>
      </w:r>
      <w:proofErr w:type="spellStart"/>
      <w:r w:rsidR="00123D5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Scheible</w:t>
      </w:r>
      <w:proofErr w:type="spellEnd"/>
      <w:r w:rsidR="00123D59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Minneapolis and London: University of Minnesota Press</w:t>
      </w:r>
      <w:r w:rsidR="00C44A66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pp. 1-11. </w:t>
      </w:r>
    </w:p>
    <w:p w14:paraId="493B925E" w14:textId="6FA70E1F" w:rsidR="008A5161" w:rsidRPr="0049188D" w:rsidRDefault="008A5161" w:rsidP="00113D82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Svirsky, Salomé Aguilera. 2020. ‘Must the Subaltern Speak? On </w:t>
      </w:r>
      <w:r w:rsidRPr="005C0636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Roma</w:t>
      </w:r>
      <w:r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and the Cinema of the Domestic Service. </w:t>
      </w:r>
      <w:r w:rsidRPr="008A5161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FORMA: </w:t>
      </w:r>
      <w:r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 Journal of Latin American Criticism and Theory</w:t>
      </w:r>
      <w:r w:rsidR="0049188D">
        <w:rPr>
          <w:rFonts w:eastAsia="Times New Roman" w:cs="Segoe UI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49188D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1 (2), </w:t>
      </w:r>
      <w:hyperlink r:id="rId4" w:history="1">
        <w:r w:rsidR="0049188D" w:rsidRPr="005574CB">
          <w:rPr>
            <w:rStyle w:val="Hyperlink"/>
            <w:rFonts w:eastAsia="Times New Roman" w:cs="Segoe UI"/>
            <w:kern w:val="0"/>
            <w:sz w:val="22"/>
            <w:szCs w:val="22"/>
            <w:bdr w:val="none" w:sz="0" w:space="0" w:color="auto" w:frame="1"/>
            <w14:ligatures w14:val="none"/>
          </w:rPr>
          <w:t>https://www.formajournal.org/skvirsky</w:t>
        </w:r>
      </w:hyperlink>
      <w:r w:rsidR="0049188D">
        <w:rPr>
          <w:rFonts w:eastAsia="Times New Roman" w:cs="Segoe U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</w:t>
      </w:r>
    </w:p>
    <w:sectPr w:rsidR="008A5161" w:rsidRPr="0049188D" w:rsidSect="00BF48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0B"/>
    <w:rsid w:val="00000611"/>
    <w:rsid w:val="00041963"/>
    <w:rsid w:val="00053812"/>
    <w:rsid w:val="00073C23"/>
    <w:rsid w:val="00094221"/>
    <w:rsid w:val="000E5A53"/>
    <w:rsid w:val="000F556F"/>
    <w:rsid w:val="00102A92"/>
    <w:rsid w:val="00113D82"/>
    <w:rsid w:val="00123D59"/>
    <w:rsid w:val="0014202D"/>
    <w:rsid w:val="00153C79"/>
    <w:rsid w:val="001D3413"/>
    <w:rsid w:val="001E4384"/>
    <w:rsid w:val="001E6BA4"/>
    <w:rsid w:val="002057A3"/>
    <w:rsid w:val="00272874"/>
    <w:rsid w:val="002E5B2B"/>
    <w:rsid w:val="00317C10"/>
    <w:rsid w:val="00345307"/>
    <w:rsid w:val="00376CD2"/>
    <w:rsid w:val="0049188D"/>
    <w:rsid w:val="00493933"/>
    <w:rsid w:val="004F0C74"/>
    <w:rsid w:val="00512909"/>
    <w:rsid w:val="005507EB"/>
    <w:rsid w:val="005C0636"/>
    <w:rsid w:val="005E4209"/>
    <w:rsid w:val="005F668B"/>
    <w:rsid w:val="00701A6C"/>
    <w:rsid w:val="00747141"/>
    <w:rsid w:val="00753907"/>
    <w:rsid w:val="00794C62"/>
    <w:rsid w:val="007C67A2"/>
    <w:rsid w:val="008733DC"/>
    <w:rsid w:val="008A5161"/>
    <w:rsid w:val="008F2684"/>
    <w:rsid w:val="0091383A"/>
    <w:rsid w:val="00957992"/>
    <w:rsid w:val="009A32FB"/>
    <w:rsid w:val="009C3455"/>
    <w:rsid w:val="009D3722"/>
    <w:rsid w:val="009D598F"/>
    <w:rsid w:val="00A5270B"/>
    <w:rsid w:val="00A86873"/>
    <w:rsid w:val="00B53D53"/>
    <w:rsid w:val="00B97B3B"/>
    <w:rsid w:val="00BF48D6"/>
    <w:rsid w:val="00C1694A"/>
    <w:rsid w:val="00C244AC"/>
    <w:rsid w:val="00C37795"/>
    <w:rsid w:val="00C44A66"/>
    <w:rsid w:val="00C5396F"/>
    <w:rsid w:val="00D27E38"/>
    <w:rsid w:val="00D83996"/>
    <w:rsid w:val="00ED1E60"/>
    <w:rsid w:val="00F21900"/>
    <w:rsid w:val="00F2634D"/>
    <w:rsid w:val="00F52CC1"/>
    <w:rsid w:val="00F7271C"/>
    <w:rsid w:val="00F77806"/>
    <w:rsid w:val="00F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42503"/>
  <w15:chartTrackingRefBased/>
  <w15:docId w15:val="{F5554218-4328-6A4A-B26C-BEFDF471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7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918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majournal.org/skvirs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Luca, Tiago</dc:creator>
  <cp:keywords/>
  <dc:description/>
  <cp:lastModifiedBy>Sarah Cooper</cp:lastModifiedBy>
  <cp:revision>2</cp:revision>
  <dcterms:created xsi:type="dcterms:W3CDTF">2024-07-03T11:48:00Z</dcterms:created>
  <dcterms:modified xsi:type="dcterms:W3CDTF">2024-07-03T11:48:00Z</dcterms:modified>
</cp:coreProperties>
</file>